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4335C6">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L'Installazione, La Manutenzione E La Riparazione Di Reti Informatiche</w:t>
      </w:r>
    </w:p>
    <w:p w:rsidR="004335C6" w:rsidRDefault="004335C6">
      <w:pPr>
        <w:rPr>
          <w:rFonts w:ascii="Segoe UI" w:hAnsi="Segoe UI" w:cs="Segoe UI"/>
          <w:b/>
          <w:bCs/>
          <w:color w:val="202020"/>
          <w:sz w:val="18"/>
          <w:szCs w:val="18"/>
          <w:shd w:val="clear" w:color="auto" w:fill="FFFFFF"/>
        </w:rPr>
      </w:pP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4335C6">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4335C6" w:rsidRDefault="004335C6" w:rsidP="004335C6">
      <w:pPr>
        <w:shd w:val="clear" w:color="auto" w:fill="FFFFFF"/>
        <w:spacing w:after="0" w:line="240" w:lineRule="auto"/>
        <w:jc w:val="right"/>
        <w:rPr>
          <w:rFonts w:ascii="Segoe UI" w:eastAsia="Times New Roman" w:hAnsi="Segoe UI" w:cs="Segoe UI"/>
          <w:color w:val="262626"/>
          <w:sz w:val="18"/>
          <w:szCs w:val="18"/>
          <w:lang w:eastAsia="it-IT"/>
        </w:rPr>
      </w:pP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62626"/>
          <w:sz w:val="18"/>
          <w:szCs w:val="18"/>
          <w:lang w:eastAsia="it-IT"/>
        </w:rPr>
        <w:t>Ore in aula</w:t>
      </w: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02020"/>
          <w:sz w:val="18"/>
          <w:lang w:eastAsia="it-IT"/>
        </w:rPr>
        <w:t>200</w:t>
      </w:r>
    </w:p>
    <w:p w:rsidR="004335C6" w:rsidRDefault="004335C6" w:rsidP="004335C6">
      <w:pPr>
        <w:shd w:val="clear" w:color="auto" w:fill="FFFFFF"/>
        <w:spacing w:after="0" w:line="240" w:lineRule="auto"/>
        <w:jc w:val="right"/>
        <w:rPr>
          <w:rFonts w:ascii="Segoe UI" w:eastAsia="Times New Roman" w:hAnsi="Segoe UI" w:cs="Segoe UI"/>
          <w:color w:val="262626"/>
          <w:sz w:val="18"/>
          <w:szCs w:val="18"/>
          <w:lang w:eastAsia="it-IT"/>
        </w:rPr>
      </w:pP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62626"/>
          <w:sz w:val="18"/>
          <w:szCs w:val="18"/>
          <w:lang w:eastAsia="it-IT"/>
        </w:rPr>
        <w:t>Ore in laboratorio</w:t>
      </w: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02020"/>
          <w:sz w:val="18"/>
          <w:lang w:eastAsia="it-IT"/>
        </w:rPr>
        <w:t>0</w:t>
      </w:r>
    </w:p>
    <w:p w:rsid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62626"/>
          <w:sz w:val="18"/>
          <w:szCs w:val="18"/>
          <w:lang w:eastAsia="it-IT"/>
        </w:rPr>
        <w:t>Figura di Riferimento</w:t>
      </w: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02020"/>
          <w:sz w:val="18"/>
          <w:lang w:eastAsia="it-IT"/>
        </w:rPr>
        <w:t>175 - tecnico delle attività di installazione, configurazione, manutenzione e riparazione di reti informatiche</w:t>
      </w:r>
    </w:p>
    <w:p w:rsidR="004335C6" w:rsidRDefault="004335C6" w:rsidP="004335C6">
      <w:pPr>
        <w:shd w:val="clear" w:color="auto" w:fill="FFFFFF"/>
        <w:spacing w:after="0" w:line="240" w:lineRule="auto"/>
        <w:jc w:val="right"/>
        <w:rPr>
          <w:rFonts w:ascii="Segoe UI" w:eastAsia="Times New Roman" w:hAnsi="Segoe UI" w:cs="Segoe UI"/>
          <w:color w:val="262626"/>
          <w:sz w:val="18"/>
          <w:szCs w:val="18"/>
          <w:lang w:eastAsia="it-IT"/>
        </w:rPr>
      </w:pP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62626"/>
          <w:sz w:val="18"/>
          <w:szCs w:val="18"/>
          <w:lang w:eastAsia="it-IT"/>
        </w:rPr>
        <w:t>Struttura del Percorso e Contenuti Formativi</w:t>
      </w: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02020"/>
          <w:sz w:val="18"/>
          <w:lang w:eastAsia="it-IT"/>
        </w:rPr>
        <w:t>1039 PROGETTAZIONE DELLA RETE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Architettura delle reti informatiche - 15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I mezzi di trasmissione delle reti ( doppini, cavo coassiale, fibra ottica, collegamenti wi-fi, ecc...)- 10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Nozioni di inglese tecnico ' 10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Modelli di rappresentazione formalizzata delle reti ' 10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Gli standard di qualità delle reti informatiche ' 10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Le reti locali; caratteristiche e funzionamento ' 15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1040 INSTALLAZIONE E CONFIGURAZIONE DELLA RETE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Gli apparati di rete (es. hub, switch, router, firewall, ecc...), - 10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Gli strumenti di misura delle grandezze fisiche ed elettroniche ' 5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I dispositivi di protezione della rete- 5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Quadro generale sui dispositivi di rete ' 15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Elettronica applicata ' 10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I protocolli di rete ' 10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Il collaudo delle reti ( modalità operative)- 15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1041 AGGIORNAMENTO E MANUTENZIONE DELLA RETE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Metodologie di manutenzione dei dispositivi di reti ' 20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La sicurezza e la protezione delle reti - 15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Aggiornamenti hardware e software ' 25 ore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szCs w:val="18"/>
          <w:bdr w:val="dashed" w:sz="4" w:space="0" w:color="DFDFDF" w:frame="1"/>
          <w:shd w:val="clear" w:color="auto" w:fill="FFFFFF"/>
          <w:lang w:eastAsia="it-IT"/>
        </w:rPr>
        <w:br/>
      </w: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62626"/>
          <w:sz w:val="18"/>
          <w:szCs w:val="18"/>
          <w:lang w:eastAsia="it-IT"/>
        </w:rPr>
        <w:t>Attestazione finale</w:t>
      </w: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02020"/>
          <w:sz w:val="18"/>
          <w:lang w:eastAsia="it-IT"/>
        </w:rPr>
        <w:t>Dichiarazione degli apprendimenti</w:t>
      </w:r>
    </w:p>
    <w:p w:rsidR="004335C6" w:rsidRDefault="004335C6" w:rsidP="004335C6">
      <w:pPr>
        <w:shd w:val="clear" w:color="auto" w:fill="FFFFFF"/>
        <w:spacing w:after="0" w:line="240" w:lineRule="auto"/>
        <w:jc w:val="right"/>
        <w:rPr>
          <w:rFonts w:ascii="Segoe UI" w:eastAsia="Times New Roman" w:hAnsi="Segoe UI" w:cs="Segoe UI"/>
          <w:color w:val="262626"/>
          <w:sz w:val="18"/>
          <w:szCs w:val="18"/>
          <w:lang w:eastAsia="it-IT"/>
        </w:rPr>
      </w:pP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62626"/>
          <w:sz w:val="18"/>
          <w:szCs w:val="18"/>
          <w:lang w:eastAsia="it-IT"/>
        </w:rPr>
        <w:t>Modalità Valutazione Finale degli Apprendimenti</w:t>
      </w: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02020"/>
          <w:sz w:val="18"/>
          <w:lang w:eastAsia="it-IT"/>
        </w:rPr>
        <w:t>Nel dettaglio la verifica finale verrà effettuata nel seguente modo: verranno predisposte dal coordinatore del corso, 20 domande (di cui 5 a risposta aperta e 15 a risposta multipla). Queste 20 domande verteranno sull'intero percorso formativo.</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Nella verifica finale sono previsti anche 5 quesiti a risposta aperta, le cui modalità di risposta non sono state previste dal coordinatore o per lo meno non vengono lette all'allievo (non esiste, quindi, alcun vincolo alle risposte). Se da un lato questa fase può richiedere un notevole impegno di tempo, dall'altro le domande aperte si possono rivelare particolarmente utili per analizzare in profondità gli argomenti e per ottenere una maggior ricchezza di spunti e di dettagli.</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A proposito di quest'ultimo punto, occorre specificare che per le domande aperte è necessario un lavoro aggiuntivo al momento dell'elaborazione: l'analisi del contenuto delle risposte e la successiva valutazione.</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Si avrà un giudizio di scala (insufficiente/sufficiente) semplice e coerente così come previsto anche nelle recenti convenzioni sottoscritte per l'attivazione di percorsi formativi.</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Giudizio di scala:</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t>Insufficiente (10 risposte inesatte su 20)</w:t>
      </w:r>
      <w:r w:rsidRPr="004335C6">
        <w:rPr>
          <w:rFonts w:ascii="Segoe UI" w:eastAsia="Times New Roman" w:hAnsi="Segoe UI" w:cs="Segoe UI"/>
          <w:color w:val="202020"/>
          <w:sz w:val="18"/>
          <w:szCs w:val="18"/>
          <w:bdr w:val="dashed" w:sz="4" w:space="0" w:color="DFDFDF" w:frame="1"/>
          <w:shd w:val="clear" w:color="auto" w:fill="FFFFFF"/>
          <w:lang w:eastAsia="it-IT"/>
        </w:rPr>
        <w:br/>
      </w:r>
      <w:r w:rsidRPr="004335C6">
        <w:rPr>
          <w:rFonts w:ascii="Segoe UI" w:eastAsia="Times New Roman" w:hAnsi="Segoe UI" w:cs="Segoe UI"/>
          <w:color w:val="202020"/>
          <w:sz w:val="18"/>
          <w:lang w:eastAsia="it-IT"/>
        </w:rPr>
        <w:lastRenderedPageBreak/>
        <w:t>Sufficiente (11 risposte esatte su 20).</w:t>
      </w:r>
      <w:r w:rsidRPr="004335C6">
        <w:rPr>
          <w:rFonts w:ascii="Segoe UI" w:eastAsia="Times New Roman" w:hAnsi="Segoe UI" w:cs="Segoe UI"/>
          <w:color w:val="202020"/>
          <w:sz w:val="18"/>
          <w:szCs w:val="18"/>
          <w:bdr w:val="dashed" w:sz="4" w:space="0" w:color="DFDFDF" w:frame="1"/>
          <w:shd w:val="clear" w:color="auto" w:fill="FFFFFF"/>
          <w:lang w:eastAsia="it-IT"/>
        </w:rPr>
        <w:br/>
      </w:r>
    </w:p>
    <w:p w:rsidR="004335C6" w:rsidRDefault="004335C6" w:rsidP="004335C6">
      <w:pPr>
        <w:shd w:val="clear" w:color="auto" w:fill="FFFFFF"/>
        <w:spacing w:after="0" w:line="240" w:lineRule="auto"/>
        <w:jc w:val="right"/>
        <w:rPr>
          <w:rFonts w:ascii="Segoe UI" w:eastAsia="Times New Roman" w:hAnsi="Segoe UI" w:cs="Segoe UI"/>
          <w:color w:val="262626"/>
          <w:sz w:val="18"/>
          <w:szCs w:val="18"/>
          <w:lang w:eastAsia="it-IT"/>
        </w:rPr>
      </w:pP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62626"/>
          <w:sz w:val="18"/>
          <w:szCs w:val="18"/>
          <w:lang w:eastAsia="it-IT"/>
        </w:rPr>
        <w:t>Fabbisogno Occupazionale</w:t>
      </w:r>
    </w:p>
    <w:p w:rsidR="004335C6" w:rsidRPr="004335C6" w:rsidRDefault="004335C6" w:rsidP="004335C6">
      <w:pPr>
        <w:shd w:val="clear" w:color="auto" w:fill="FFFFFF"/>
        <w:spacing w:after="0" w:line="240" w:lineRule="auto"/>
        <w:rPr>
          <w:rFonts w:ascii="Segoe UI" w:eastAsia="Times New Roman" w:hAnsi="Segoe UI" w:cs="Segoe UI"/>
          <w:color w:val="262626"/>
          <w:sz w:val="18"/>
          <w:szCs w:val="18"/>
          <w:lang w:eastAsia="it-IT"/>
        </w:rPr>
      </w:pPr>
      <w:r w:rsidRPr="004335C6">
        <w:rPr>
          <w:rFonts w:ascii="Segoe UI" w:eastAsia="Times New Roman" w:hAnsi="Segoe UI" w:cs="Segoe UI"/>
          <w:color w:val="202020"/>
          <w:sz w:val="18"/>
          <w:lang w:eastAsia="it-IT"/>
        </w:rPr>
        <w:t>La Puglia raccoglie circa il 4% (oltre 3.200) delle aziende IT nazionali con circa 16mila addetti. Secondo i dati dell'Osservatorio Banca-impresa, nonostante la crisi e la congiuntura dei comparti industriali, il settore ICT genera 16,3 miliardi di euro di fatturato con un'incidenza sul Pil regionale pari al 19%, un punto in più rispetto alla media nazionale. Come dimostrano validi studi di settore di seguito sintetizzati esiste uno stretto rapporto tra investimenti in ict e risultati economici delle imprese. L'adozione di una prospettiva di analisi emergente, che rifiuta il riconoscimento di una causa di cambiamento dominante, implica una maggiore complessità nella spiegazione dei rapporti tra Ict e organizzazione, che possono essere molteplici, multidirezionali e contrastanti. Infatti, i tentativi di previsione dell'influenza dell'Ict sui contesti organizzativi, se svolti secondo la prospettiva emergente, richiedono una comprensione puntuale delle dinamiche organizzative e dei processi posti in essere, nonché la conoscenza relativa alle intenzioni degli attori decisionali e le caratteristiche della tecnologia che si va ad implementare. La maggiore complessità rispetto alle visioni imperative, se da un lato rende più completa l'analisi organizzativa dei fenomeni di ricorso all'Ict, dall'altro rende molto più difficile la strutturazione di modelli di implementazione dei sistemi stessi (Bendifallah e Scacchi, 1987; Kling, 1987). Il nodo cruciale risiede nella constatazione che l'IT possa assu- mere la valenza di oggetto sociale, i cui significati possono variare a seconda del contesto organizzativo di riferimento (Barley, 1987). Dal punto di vista dei risultati attesi dagli investimenti in Ict, l'adozione della prospettiva emergente limita la predefinibilità a priori degli outcome, data l'imprevedibilità dell'interazione tra componenti umane e tecnologiche.</w:t>
      </w:r>
    </w:p>
    <w:p w:rsidR="004335C6" w:rsidRDefault="004335C6"/>
    <w:sectPr w:rsidR="004335C6"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335C6"/>
    <w:rsid w:val="004335C6"/>
    <w:rsid w:val="00953E8E"/>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4335C6"/>
  </w:style>
</w:styles>
</file>

<file path=word/webSettings.xml><?xml version="1.0" encoding="utf-8"?>
<w:webSettings xmlns:r="http://schemas.openxmlformats.org/officeDocument/2006/relationships" xmlns:w="http://schemas.openxmlformats.org/wordprocessingml/2006/main">
  <w:divs>
    <w:div w:id="1720204100">
      <w:bodyDiv w:val="1"/>
      <w:marLeft w:val="0"/>
      <w:marRight w:val="0"/>
      <w:marTop w:val="0"/>
      <w:marBottom w:val="0"/>
      <w:divBdr>
        <w:top w:val="none" w:sz="0" w:space="0" w:color="auto"/>
        <w:left w:val="none" w:sz="0" w:space="0" w:color="auto"/>
        <w:bottom w:val="none" w:sz="0" w:space="0" w:color="auto"/>
        <w:right w:val="none" w:sz="0" w:space="0" w:color="auto"/>
      </w:divBdr>
      <w:divsChild>
        <w:div w:id="1584415531">
          <w:marLeft w:val="-100"/>
          <w:marRight w:val="-100"/>
          <w:marTop w:val="0"/>
          <w:marBottom w:val="0"/>
          <w:divBdr>
            <w:top w:val="none" w:sz="0" w:space="0" w:color="auto"/>
            <w:left w:val="none" w:sz="0" w:space="0" w:color="auto"/>
            <w:bottom w:val="none" w:sz="0" w:space="0" w:color="auto"/>
            <w:right w:val="none" w:sz="0" w:space="0" w:color="auto"/>
          </w:divBdr>
          <w:divsChild>
            <w:div w:id="1780878660">
              <w:marLeft w:val="0"/>
              <w:marRight w:val="0"/>
              <w:marTop w:val="0"/>
              <w:marBottom w:val="0"/>
              <w:divBdr>
                <w:top w:val="none" w:sz="0" w:space="0" w:color="auto"/>
                <w:left w:val="none" w:sz="0" w:space="0" w:color="auto"/>
                <w:bottom w:val="none" w:sz="0" w:space="0" w:color="auto"/>
                <w:right w:val="none" w:sz="0" w:space="0" w:color="auto"/>
              </w:divBdr>
              <w:divsChild>
                <w:div w:id="1045836316">
                  <w:marLeft w:val="0"/>
                  <w:marRight w:val="0"/>
                  <w:marTop w:val="0"/>
                  <w:marBottom w:val="0"/>
                  <w:divBdr>
                    <w:top w:val="none" w:sz="0" w:space="0" w:color="auto"/>
                    <w:left w:val="none" w:sz="0" w:space="0" w:color="auto"/>
                    <w:bottom w:val="none" w:sz="0" w:space="0" w:color="auto"/>
                    <w:right w:val="none" w:sz="0" w:space="0" w:color="auto"/>
                  </w:divBdr>
                  <w:divsChild>
                    <w:div w:id="144855191">
                      <w:marLeft w:val="0"/>
                      <w:marRight w:val="0"/>
                      <w:marTop w:val="0"/>
                      <w:marBottom w:val="0"/>
                      <w:divBdr>
                        <w:top w:val="none" w:sz="0" w:space="0" w:color="auto"/>
                        <w:left w:val="none" w:sz="0" w:space="0" w:color="auto"/>
                        <w:bottom w:val="none" w:sz="0" w:space="0" w:color="auto"/>
                        <w:right w:val="none" w:sz="0" w:space="0" w:color="auto"/>
                      </w:divBdr>
                      <w:divsChild>
                        <w:div w:id="12706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626488">
              <w:marLeft w:val="0"/>
              <w:marRight w:val="0"/>
              <w:marTop w:val="0"/>
              <w:marBottom w:val="0"/>
              <w:divBdr>
                <w:top w:val="none" w:sz="0" w:space="0" w:color="auto"/>
                <w:left w:val="none" w:sz="0" w:space="0" w:color="auto"/>
                <w:bottom w:val="none" w:sz="0" w:space="0" w:color="auto"/>
                <w:right w:val="none" w:sz="0" w:space="0" w:color="auto"/>
              </w:divBdr>
              <w:divsChild>
                <w:div w:id="1809011052">
                  <w:marLeft w:val="0"/>
                  <w:marRight w:val="0"/>
                  <w:marTop w:val="0"/>
                  <w:marBottom w:val="0"/>
                  <w:divBdr>
                    <w:top w:val="none" w:sz="0" w:space="0" w:color="auto"/>
                    <w:left w:val="none" w:sz="0" w:space="0" w:color="auto"/>
                    <w:bottom w:val="none" w:sz="0" w:space="0" w:color="auto"/>
                    <w:right w:val="none" w:sz="0" w:space="0" w:color="auto"/>
                  </w:divBdr>
                  <w:divsChild>
                    <w:div w:id="1262689408">
                      <w:marLeft w:val="0"/>
                      <w:marRight w:val="0"/>
                      <w:marTop w:val="0"/>
                      <w:marBottom w:val="0"/>
                      <w:divBdr>
                        <w:top w:val="none" w:sz="0" w:space="0" w:color="auto"/>
                        <w:left w:val="none" w:sz="0" w:space="0" w:color="auto"/>
                        <w:bottom w:val="none" w:sz="0" w:space="0" w:color="auto"/>
                        <w:right w:val="none" w:sz="0" w:space="0" w:color="auto"/>
                      </w:divBdr>
                      <w:divsChild>
                        <w:div w:id="188051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24859">
              <w:marLeft w:val="0"/>
              <w:marRight w:val="0"/>
              <w:marTop w:val="0"/>
              <w:marBottom w:val="0"/>
              <w:divBdr>
                <w:top w:val="none" w:sz="0" w:space="0" w:color="auto"/>
                <w:left w:val="none" w:sz="0" w:space="0" w:color="auto"/>
                <w:bottom w:val="none" w:sz="0" w:space="0" w:color="auto"/>
                <w:right w:val="none" w:sz="0" w:space="0" w:color="auto"/>
              </w:divBdr>
              <w:divsChild>
                <w:div w:id="1479876566">
                  <w:marLeft w:val="0"/>
                  <w:marRight w:val="0"/>
                  <w:marTop w:val="0"/>
                  <w:marBottom w:val="0"/>
                  <w:divBdr>
                    <w:top w:val="none" w:sz="0" w:space="0" w:color="auto"/>
                    <w:left w:val="none" w:sz="0" w:space="0" w:color="auto"/>
                    <w:bottom w:val="none" w:sz="0" w:space="0" w:color="auto"/>
                    <w:right w:val="none" w:sz="0" w:space="0" w:color="auto"/>
                  </w:divBdr>
                  <w:divsChild>
                    <w:div w:id="1972973220">
                      <w:marLeft w:val="0"/>
                      <w:marRight w:val="0"/>
                      <w:marTop w:val="0"/>
                      <w:marBottom w:val="0"/>
                      <w:divBdr>
                        <w:top w:val="none" w:sz="0" w:space="0" w:color="auto"/>
                        <w:left w:val="none" w:sz="0" w:space="0" w:color="auto"/>
                        <w:bottom w:val="none" w:sz="0" w:space="0" w:color="auto"/>
                        <w:right w:val="none" w:sz="0" w:space="0" w:color="auto"/>
                      </w:divBdr>
                      <w:divsChild>
                        <w:div w:id="1383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97876">
              <w:marLeft w:val="0"/>
              <w:marRight w:val="0"/>
              <w:marTop w:val="0"/>
              <w:marBottom w:val="0"/>
              <w:divBdr>
                <w:top w:val="none" w:sz="0" w:space="0" w:color="auto"/>
                <w:left w:val="none" w:sz="0" w:space="0" w:color="auto"/>
                <w:bottom w:val="none" w:sz="0" w:space="0" w:color="auto"/>
                <w:right w:val="none" w:sz="0" w:space="0" w:color="auto"/>
              </w:divBdr>
              <w:divsChild>
                <w:div w:id="6084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351">
          <w:marLeft w:val="-100"/>
          <w:marRight w:val="-100"/>
          <w:marTop w:val="0"/>
          <w:marBottom w:val="0"/>
          <w:divBdr>
            <w:top w:val="none" w:sz="0" w:space="0" w:color="auto"/>
            <w:left w:val="none" w:sz="0" w:space="0" w:color="auto"/>
            <w:bottom w:val="none" w:sz="0" w:space="0" w:color="auto"/>
            <w:right w:val="none" w:sz="0" w:space="0" w:color="auto"/>
          </w:divBdr>
          <w:divsChild>
            <w:div w:id="540554678">
              <w:marLeft w:val="0"/>
              <w:marRight w:val="0"/>
              <w:marTop w:val="0"/>
              <w:marBottom w:val="0"/>
              <w:divBdr>
                <w:top w:val="none" w:sz="0" w:space="0" w:color="auto"/>
                <w:left w:val="none" w:sz="0" w:space="0" w:color="auto"/>
                <w:bottom w:val="none" w:sz="0" w:space="0" w:color="auto"/>
                <w:right w:val="none" w:sz="0" w:space="0" w:color="auto"/>
              </w:divBdr>
              <w:divsChild>
                <w:div w:id="1920602761">
                  <w:marLeft w:val="0"/>
                  <w:marRight w:val="0"/>
                  <w:marTop w:val="0"/>
                  <w:marBottom w:val="0"/>
                  <w:divBdr>
                    <w:top w:val="none" w:sz="0" w:space="0" w:color="auto"/>
                    <w:left w:val="none" w:sz="0" w:space="0" w:color="auto"/>
                    <w:bottom w:val="none" w:sz="0" w:space="0" w:color="auto"/>
                    <w:right w:val="none" w:sz="0" w:space="0" w:color="auto"/>
                  </w:divBdr>
                  <w:divsChild>
                    <w:div w:id="1906917580">
                      <w:marLeft w:val="0"/>
                      <w:marRight w:val="0"/>
                      <w:marTop w:val="0"/>
                      <w:marBottom w:val="0"/>
                      <w:divBdr>
                        <w:top w:val="none" w:sz="0" w:space="0" w:color="auto"/>
                        <w:left w:val="none" w:sz="0" w:space="0" w:color="auto"/>
                        <w:bottom w:val="none" w:sz="0" w:space="0" w:color="auto"/>
                        <w:right w:val="none" w:sz="0" w:space="0" w:color="auto"/>
                      </w:divBdr>
                      <w:divsChild>
                        <w:div w:id="17683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64617">
          <w:marLeft w:val="-100"/>
          <w:marRight w:val="-100"/>
          <w:marTop w:val="0"/>
          <w:marBottom w:val="0"/>
          <w:divBdr>
            <w:top w:val="none" w:sz="0" w:space="0" w:color="auto"/>
            <w:left w:val="none" w:sz="0" w:space="0" w:color="auto"/>
            <w:bottom w:val="none" w:sz="0" w:space="0" w:color="auto"/>
            <w:right w:val="none" w:sz="0" w:space="0" w:color="auto"/>
          </w:divBdr>
          <w:divsChild>
            <w:div w:id="964386822">
              <w:marLeft w:val="0"/>
              <w:marRight w:val="0"/>
              <w:marTop w:val="0"/>
              <w:marBottom w:val="0"/>
              <w:divBdr>
                <w:top w:val="none" w:sz="0" w:space="0" w:color="auto"/>
                <w:left w:val="none" w:sz="0" w:space="0" w:color="auto"/>
                <w:bottom w:val="none" w:sz="0" w:space="0" w:color="auto"/>
                <w:right w:val="none" w:sz="0" w:space="0" w:color="auto"/>
              </w:divBdr>
              <w:divsChild>
                <w:div w:id="1372999570">
                  <w:marLeft w:val="0"/>
                  <w:marRight w:val="0"/>
                  <w:marTop w:val="0"/>
                  <w:marBottom w:val="0"/>
                  <w:divBdr>
                    <w:top w:val="none" w:sz="0" w:space="0" w:color="auto"/>
                    <w:left w:val="none" w:sz="0" w:space="0" w:color="auto"/>
                    <w:bottom w:val="none" w:sz="0" w:space="0" w:color="auto"/>
                    <w:right w:val="none" w:sz="0" w:space="0" w:color="auto"/>
                  </w:divBdr>
                  <w:divsChild>
                    <w:div w:id="964433663">
                      <w:marLeft w:val="0"/>
                      <w:marRight w:val="0"/>
                      <w:marTop w:val="0"/>
                      <w:marBottom w:val="0"/>
                      <w:divBdr>
                        <w:top w:val="none" w:sz="0" w:space="0" w:color="auto"/>
                        <w:left w:val="none" w:sz="0" w:space="0" w:color="auto"/>
                        <w:bottom w:val="none" w:sz="0" w:space="0" w:color="auto"/>
                        <w:right w:val="none" w:sz="0" w:space="0" w:color="auto"/>
                      </w:divBdr>
                      <w:divsChild>
                        <w:div w:id="1302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948389">
          <w:marLeft w:val="-100"/>
          <w:marRight w:val="-100"/>
          <w:marTop w:val="0"/>
          <w:marBottom w:val="0"/>
          <w:divBdr>
            <w:top w:val="none" w:sz="0" w:space="0" w:color="auto"/>
            <w:left w:val="none" w:sz="0" w:space="0" w:color="auto"/>
            <w:bottom w:val="none" w:sz="0" w:space="0" w:color="auto"/>
            <w:right w:val="none" w:sz="0" w:space="0" w:color="auto"/>
          </w:divBdr>
          <w:divsChild>
            <w:div w:id="1650594717">
              <w:marLeft w:val="0"/>
              <w:marRight w:val="0"/>
              <w:marTop w:val="0"/>
              <w:marBottom w:val="0"/>
              <w:divBdr>
                <w:top w:val="none" w:sz="0" w:space="0" w:color="auto"/>
                <w:left w:val="none" w:sz="0" w:space="0" w:color="auto"/>
                <w:bottom w:val="none" w:sz="0" w:space="0" w:color="auto"/>
                <w:right w:val="none" w:sz="0" w:space="0" w:color="auto"/>
              </w:divBdr>
              <w:divsChild>
                <w:div w:id="1880316833">
                  <w:marLeft w:val="0"/>
                  <w:marRight w:val="0"/>
                  <w:marTop w:val="0"/>
                  <w:marBottom w:val="0"/>
                  <w:divBdr>
                    <w:top w:val="none" w:sz="0" w:space="0" w:color="auto"/>
                    <w:left w:val="none" w:sz="0" w:space="0" w:color="auto"/>
                    <w:bottom w:val="none" w:sz="0" w:space="0" w:color="auto"/>
                    <w:right w:val="none" w:sz="0" w:space="0" w:color="auto"/>
                  </w:divBdr>
                  <w:divsChild>
                    <w:div w:id="410780018">
                      <w:marLeft w:val="0"/>
                      <w:marRight w:val="0"/>
                      <w:marTop w:val="0"/>
                      <w:marBottom w:val="0"/>
                      <w:divBdr>
                        <w:top w:val="none" w:sz="0" w:space="0" w:color="auto"/>
                        <w:left w:val="none" w:sz="0" w:space="0" w:color="auto"/>
                        <w:bottom w:val="none" w:sz="0" w:space="0" w:color="auto"/>
                        <w:right w:val="none" w:sz="0" w:space="0" w:color="auto"/>
                      </w:divBdr>
                      <w:divsChild>
                        <w:div w:id="10558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078745">
          <w:marLeft w:val="-100"/>
          <w:marRight w:val="-100"/>
          <w:marTop w:val="0"/>
          <w:marBottom w:val="0"/>
          <w:divBdr>
            <w:top w:val="none" w:sz="0" w:space="0" w:color="auto"/>
            <w:left w:val="none" w:sz="0" w:space="0" w:color="auto"/>
            <w:bottom w:val="none" w:sz="0" w:space="0" w:color="auto"/>
            <w:right w:val="none" w:sz="0" w:space="0" w:color="auto"/>
          </w:divBdr>
          <w:divsChild>
            <w:div w:id="587614382">
              <w:marLeft w:val="0"/>
              <w:marRight w:val="0"/>
              <w:marTop w:val="0"/>
              <w:marBottom w:val="0"/>
              <w:divBdr>
                <w:top w:val="none" w:sz="0" w:space="0" w:color="auto"/>
                <w:left w:val="none" w:sz="0" w:space="0" w:color="auto"/>
                <w:bottom w:val="none" w:sz="0" w:space="0" w:color="auto"/>
                <w:right w:val="none" w:sz="0" w:space="0" w:color="auto"/>
              </w:divBdr>
              <w:divsChild>
                <w:div w:id="1680277838">
                  <w:marLeft w:val="0"/>
                  <w:marRight w:val="0"/>
                  <w:marTop w:val="0"/>
                  <w:marBottom w:val="0"/>
                  <w:divBdr>
                    <w:top w:val="none" w:sz="0" w:space="0" w:color="auto"/>
                    <w:left w:val="none" w:sz="0" w:space="0" w:color="auto"/>
                    <w:bottom w:val="none" w:sz="0" w:space="0" w:color="auto"/>
                    <w:right w:val="none" w:sz="0" w:space="0" w:color="auto"/>
                  </w:divBdr>
                  <w:divsChild>
                    <w:div w:id="1142885239">
                      <w:marLeft w:val="0"/>
                      <w:marRight w:val="0"/>
                      <w:marTop w:val="0"/>
                      <w:marBottom w:val="0"/>
                      <w:divBdr>
                        <w:top w:val="none" w:sz="0" w:space="0" w:color="auto"/>
                        <w:left w:val="none" w:sz="0" w:space="0" w:color="auto"/>
                        <w:bottom w:val="none" w:sz="0" w:space="0" w:color="auto"/>
                        <w:right w:val="none" w:sz="0" w:space="0" w:color="auto"/>
                      </w:divBdr>
                      <w:divsChild>
                        <w:div w:id="750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222010">
          <w:marLeft w:val="-100"/>
          <w:marRight w:val="-100"/>
          <w:marTop w:val="0"/>
          <w:marBottom w:val="0"/>
          <w:divBdr>
            <w:top w:val="none" w:sz="0" w:space="0" w:color="auto"/>
            <w:left w:val="none" w:sz="0" w:space="0" w:color="auto"/>
            <w:bottom w:val="none" w:sz="0" w:space="0" w:color="auto"/>
            <w:right w:val="none" w:sz="0" w:space="0" w:color="auto"/>
          </w:divBdr>
          <w:divsChild>
            <w:div w:id="731347918">
              <w:marLeft w:val="0"/>
              <w:marRight w:val="0"/>
              <w:marTop w:val="0"/>
              <w:marBottom w:val="0"/>
              <w:divBdr>
                <w:top w:val="none" w:sz="0" w:space="0" w:color="auto"/>
                <w:left w:val="none" w:sz="0" w:space="0" w:color="auto"/>
                <w:bottom w:val="none" w:sz="0" w:space="0" w:color="auto"/>
                <w:right w:val="none" w:sz="0" w:space="0" w:color="auto"/>
              </w:divBdr>
              <w:divsChild>
                <w:div w:id="1038429065">
                  <w:marLeft w:val="0"/>
                  <w:marRight w:val="0"/>
                  <w:marTop w:val="0"/>
                  <w:marBottom w:val="0"/>
                  <w:divBdr>
                    <w:top w:val="none" w:sz="0" w:space="0" w:color="auto"/>
                    <w:left w:val="none" w:sz="0" w:space="0" w:color="auto"/>
                    <w:bottom w:val="none" w:sz="0" w:space="0" w:color="auto"/>
                    <w:right w:val="none" w:sz="0" w:space="0" w:color="auto"/>
                  </w:divBdr>
                  <w:divsChild>
                    <w:div w:id="1582568221">
                      <w:marLeft w:val="0"/>
                      <w:marRight w:val="0"/>
                      <w:marTop w:val="0"/>
                      <w:marBottom w:val="0"/>
                      <w:divBdr>
                        <w:top w:val="none" w:sz="0" w:space="0" w:color="auto"/>
                        <w:left w:val="none" w:sz="0" w:space="0" w:color="auto"/>
                        <w:bottom w:val="none" w:sz="0" w:space="0" w:color="auto"/>
                        <w:right w:val="none" w:sz="0" w:space="0" w:color="auto"/>
                      </w:divBdr>
                      <w:divsChild>
                        <w:div w:id="192344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2022-07-08T10:49:00Z</dcterms:created>
  <dcterms:modified xsi:type="dcterms:W3CDTF">2022-07-08T10:51:00Z</dcterms:modified>
</cp:coreProperties>
</file>