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410AEA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Tecniche di gestione B&amp;B</w:t>
      </w:r>
    </w:p>
    <w:p w:rsidR="00410AEA" w:rsidRDefault="00410AEA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410AEA" w:rsidRDefault="00410AEA" w:rsidP="00410AE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</w:p>
    <w:p w:rsid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0</w:t>
      </w:r>
    </w:p>
    <w:p w:rsid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256 - tecnico delle attività di gestione del cliente, promozione della struttura ricettiva e gestione del personale preposto al ricevimento</w:t>
      </w:r>
    </w:p>
    <w:p w:rsidR="00410AEA" w:rsidRDefault="00410AEA" w:rsidP="00410AE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Il percorso formativo si strutturerà in complessive 200 ore distribuite sulle seguenti aree tematiche: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UC 981 - GESTIONE DEL PERSONALE ADDETTO AL RICEVIMENTO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Elementi di diritto del lavoro ' 20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Analisi dell'organizzazione del b&amp;b, dei compiti e dei ruoli -15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I principali software albeghieri ' 25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L'importanza della formazione -10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UC 985- PROMOZIONE DELLA STRUTTURA RICETTIVA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gestione delle prenotazioni ' 20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gestione del booking e le strategie di vendita - 25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costruzione della partneship e i rapporti con agenzie viaggio, tour operator -10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I motori di ricerca turistici e il posizionamento -15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UC 986 - ATTUAZIONE DELLE POLITICHE DI GESTIONE DEL CLIENTE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Normative europee e regionali per le strutture ricettive -15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qualità nelle strutture ricettive ' 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Programmi informatici gestionali ' 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gestione dei reclami -15 ore</w:t>
      </w:r>
      <w:r w:rsidRPr="00410AEA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410AEA" w:rsidRDefault="00410AEA" w:rsidP="00410AE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410AEA" w:rsidRDefault="00410AEA" w:rsidP="00410AE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TEST A RISPOSTA MULTIPLA</w:t>
      </w:r>
    </w:p>
    <w:p w:rsidR="00410AEA" w:rsidRDefault="00410AEA" w:rsidP="00410AE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Fabbisogno Occupazionale</w:t>
      </w:r>
    </w:p>
    <w:p w:rsidR="00410AEA" w:rsidRPr="00410AEA" w:rsidRDefault="00410AEA" w:rsidP="00410A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10AEA">
        <w:rPr>
          <w:rFonts w:ascii="Segoe UI" w:eastAsia="Times New Roman" w:hAnsi="Segoe UI" w:cs="Segoe UI"/>
          <w:color w:val="202020"/>
          <w:sz w:val="21"/>
          <w:lang w:eastAsia="it-IT"/>
        </w:rPr>
        <w:t>La figura è richiesta sia in strutture alberghiere sia in B&amp;B.</w:t>
      </w:r>
    </w:p>
    <w:p w:rsidR="00410AEA" w:rsidRDefault="00410AEA"/>
    <w:sectPr w:rsidR="00410AEA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0AEA"/>
    <w:rsid w:val="00410AEA"/>
    <w:rsid w:val="009D6F3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410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6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1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3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060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2281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4304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3998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91965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2022-07-13T14:20:00Z</dcterms:created>
  <dcterms:modified xsi:type="dcterms:W3CDTF">2022-07-13T14:23:00Z</dcterms:modified>
</cp:coreProperties>
</file>