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F8" w:rsidRDefault="00CF04F8" w:rsidP="00CF04F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2020"/>
          <w:sz w:val="18"/>
          <w:lang w:eastAsia="it-IT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1 - Agricoltura Hi-Tech</w:t>
      </w:r>
    </w:p>
    <w:p w:rsid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02020"/>
          <w:sz w:val="18"/>
          <w:lang w:eastAsia="it-IT"/>
        </w:rPr>
        <w:t>Durata: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</w:t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Ore in aula</w:t>
      </w:r>
      <w:r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 xml:space="preserve">: </w:t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</w:t>
      </w: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Ore in laboratorio</w:t>
      </w:r>
      <w:r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 xml:space="preserve">: </w:t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</w:t>
      </w: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Settore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artigianato artistico</w:t>
      </w:r>
    </w:p>
    <w:p w:rsid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Ambito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Nuovi settori hi-tech nella Regione Puglia</w:t>
      </w: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Descrizione Ambito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L'obiettivo risulta essere quello di valorizzare l'effetto-sistema del processo innovativo nelle sue componenti economiche e tecnologiche, realizzando un legame tra scienza di base e ricerca, attivando un circolo virtuoso dello sviluppo dell'innovazione nel territorio attraverso la collaborazione, l'interazione e le sinergie tra attori diversi sia interni che esterni all'ATS . Il settore agroalimentare, alla base del sistema economico del nostro paese, risulta essere uno dei più importanti e per questo più imitati e contraffatti al mondo, necessita di una forte valorizzazione, non solo nell'ambito territoriale, ma anche in quello europeo e mondiale. L'ambito della formazione riguarda il miglioramento tecnlogico delle pratiche agronomiche e della qualità delle produzioni, individuando opportunità per lo sviluppo della attività agricola.</w:t>
      </w: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Descrizione Figura</w:t>
      </w:r>
    </w:p>
    <w:p w:rsid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Il destinatario della formazione sarà in grado di fornire consulenza tecnica innovativa all'agricoltore per il miglioramento delle pratiche agronomiche e della qualità delle produzioni, individuando opportunità per lo sviluppo della attività agricola.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Obiettivi di apprendimento (Competenze in uscita)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Il corso 'Agricoltura hi-tech' è un percorso formativo operativo ed efficace, progettato con l'intento di far acquisire, per chi vuole operare nel settore, conoscenze e competenze spendibili nel mercato del lavoro. L'obiettivo è quello di formare un manager/imprenditore oppure un professionista/consulente attraverso conoscenze tecniche e specialistiche ma anche attraverso competenze manageriali che supportino lo sviluppo e la competitività delle aziende. Al termine della formazione il destinatario è in grado di: utilizzare le applicazioni in agricoltura delle tecnologie di precisione quali GPS, sensori, macchine agricole automatizzate, software e programmi di analisi dati da utilizzare direttamente sul campo; elaborare piani per lo sviluppo dell'impresa agricola singola, o di più imprese che perseguono obiettivi comuni, grazie alla conoscenza delle norme vigenti, delle caratteristiche dell'impresa e del territorio.</w:t>
      </w: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Struttura del Percorso e Contenuti Formativi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Elementi di orticoltura.(20 ore)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Tecniche agronomiche. 20 ore (10 t + 10 p)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Biotecnologie in agricoltura. 30 ore (20 t + 10 p)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Meccatronica in agricoltura. 30 ore (20 t + 10 p)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Agricoltura di precisione: sistemi informatici per la produzione agricola.(30 ore)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Caratteristiche tecniche, strutturali, gestionali, organizzative dell'impresa per poterne mettere in luce le criticità e gli eventuali punti di forza.(20 ore)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Normative principali di riferimento del comparto agricolo per cogliere i vincoli e le opportunità di sviluppo per l'impresa. (20 ore)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Tecniche di valutazione e monitoraggio per controllare i vari stati di avanzamento del progetto e la loro rispondenza agli obiettivi prefissati. 30 ore (20 t + 10 p)</w:t>
      </w:r>
    </w:p>
    <w:p w:rsid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Attestazione finale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Attestato di Frequenza con profitto</w:t>
      </w:r>
    </w:p>
    <w:p w:rsid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b/>
          <w:color w:val="262626"/>
          <w:sz w:val="18"/>
          <w:szCs w:val="18"/>
          <w:lang w:eastAsia="it-IT"/>
        </w:rPr>
        <w:t>Modalità Valutazione Finale degli Apprendimenti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 xml:space="preserve">La valutazione dell'apprendimento coincide sostanzialmente con l'analisi dei cambiamenti indotti nei partecipanti dall'intervento formativo, in termini di implementazione di nuove competenze o di rafforzamento/riqualificazione di </w:t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quelle già possedute.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Si tratta di una fase di riflessione sul cambiamento individuale.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La fase valutazione permetterà di misurare l'andamento, l'efficienza e l'efficacia del corso rispetto agli obiettivi prefissati. Per tale scopo si utilizzeranno indicatori specifici che permetteranno di valutare i risultati e l'impatto della formazione svolta.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Nello specifico, il corso prevede in fase finale lo svolgimento di una prova oggettiva di verifica finale che avrà lo scopo di appurare le conoscenze acquisite da ogni singolo corsista.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Le prove oggettive di profitto o prove strutturate che si utilizzeranno saranno caratterizzate dalla chiusura degli stimoli e delle risposte in modo tale da evitare la soggettività del partecipante nel momento in cui interpreta le domande e la soggettività del docente (coordinatore o tutor) nel momento in cui valuta le risposte.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Tali prove offrono infatti diversi vantaggi: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oggettività: nella correzione delle prove e nell'attribuzione dei punteggi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risparmio di tempo: i test a domande chiuse consentono una correzione molto veloce perché i punteggi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sono predefiniti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pari condizioni: le prove oggettive garantiscono che tutti i soggetti ai quali viene somministrato il test, si trovino nelle stesse condizioni di lavoro, poiché sono identiche le domande e i tempi di risposta.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Le domande a risposta chiusa che costituiranno i test di verifica finale potranno essere di diverso tipo: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domande del tipo vero/falso: che consentono una sola risposta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domande a scelta multipla: si sottopongono al destinatario una serie di risposte tutte verosimili tra le quali, tuttavia, una sola è la risposta esatta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inserimenti: si tratta di brevi testi di risposta in cui bisogna inserire parole o frasi mancanti, scegliendole da un elenco sottostante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corrispondenze: la domanda consta di due elenchi di parole chiave che devono essere associate tra loro</w:t>
      </w:r>
      <w:r w:rsidRPr="00CF04F8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La valutazione degli apprendimenti attraverso prove strutturate avverrà assegnando punteggi ai singoli item del test.</w:t>
      </w:r>
    </w:p>
    <w:p w:rsidR="00CF04F8" w:rsidRPr="00CF04F8" w:rsidRDefault="00CF04F8" w:rsidP="00CF04F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CF04F8" w:rsidRPr="00CF04F8" w:rsidRDefault="00CF04F8" w:rsidP="00CF04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F04F8">
        <w:rPr>
          <w:rFonts w:ascii="Segoe UI" w:eastAsia="Times New Roman" w:hAnsi="Segoe UI" w:cs="Segoe UI"/>
          <w:color w:val="202020"/>
          <w:sz w:val="18"/>
          <w:lang w:eastAsia="it-IT"/>
        </w:rPr>
        <w:t>I dati raccolti da Unioncamere-Ministero del Lavoro (Sistema Informativo Excelsior) a livello nazionale, rivelano un miglioramento dal punto di vista tendenziale della domanda di lavoro per il primo trimestre del 2015, cioè rispetto allo stesso trimestre del 2014: i flussi di lavoratori in entrata previsti fanno registrare un incremento del 13%, confermando sotto l'aspetto dell'occupazione gli altri segnali di ripresa del ciclo economico. La variazione tendenziale dei flussi deriva dall'effetto congiunto di un aumento del 10% delle assunzioni di lavoratori dipendenti e di una crescita del 21% dei contratti atipici. In Puglia i contratti attivati nel primo trimestre dell'anno saranno 9.730, il 32% in più rispetto al trimestre precedente: un incremento superiore, quindi, a quello nazionale (21%). Rispetto ai circa 8.970 contratti dello stesso trimestre dello scorso anno, l'aumento è invece dell'8%. La maggior parte delle assunzioni saranno effettuate da imprese che operano nei servizi, che concentreranno il 59% delle 6.570 assunzioni programmate in Puglia nel primo trimestre. Tra le attività manufatturiere i settori con il numero più elevato di posti di lavoro offerti sono la metalmeccanica ed elettronica e l'alimentare (rispettivamente, 290 e 260 unità). Il settore alimentare, strettamente correlato a quello dell'agricoltura, può diventare la porta di accesso al mondo del lavoro per i destinatari della formazione in oggetto.</w:t>
      </w:r>
    </w:p>
    <w:p w:rsidR="00FE2D3D" w:rsidRDefault="00FE2D3D"/>
    <w:sectPr w:rsidR="00FE2D3D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F04F8"/>
    <w:rsid w:val="0002029B"/>
    <w:rsid w:val="00CF04F8"/>
    <w:rsid w:val="00ED756E"/>
    <w:rsid w:val="00F621FC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CF0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160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7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9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1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3054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15068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538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78942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7858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2247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2048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519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5220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0802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2022-07-07T09:56:00Z</dcterms:created>
  <dcterms:modified xsi:type="dcterms:W3CDTF">2022-07-07T10:02:00Z</dcterms:modified>
</cp:coreProperties>
</file>